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C7" w:rsidRPr="009A3DC7" w:rsidRDefault="009A3DC7" w:rsidP="009A3DC7">
      <w:pPr>
        <w:tabs>
          <w:tab w:val="left" w:pos="540"/>
        </w:tabs>
        <w:spacing w:after="120"/>
        <w:jc w:val="both"/>
        <w:rPr>
          <w:rFonts w:ascii="Times New Roman" w:hAnsi="Times New Roman" w:cs="Times New Roman"/>
          <w:b/>
          <w:i/>
          <w:sz w:val="28"/>
          <w:szCs w:val="20"/>
        </w:rPr>
      </w:pPr>
      <w:r w:rsidRPr="009A3DC7">
        <w:rPr>
          <w:rFonts w:ascii="Times New Roman" w:hAnsi="Times New Roman" w:cs="Times New Roman"/>
          <w:b/>
          <w:i/>
          <w:sz w:val="28"/>
          <w:szCs w:val="20"/>
        </w:rPr>
        <w:t>General</w:t>
      </w:r>
      <w:r w:rsidRPr="009A3DC7">
        <w:rPr>
          <w:rFonts w:ascii="Times New Roman" w:hAnsi="Times New Roman" w:cs="Times New Roman"/>
          <w:b/>
          <w:i/>
          <w:sz w:val="28"/>
          <w:szCs w:val="20"/>
        </w:rPr>
        <w:t xml:space="preserve"> Mathematical analysis for physical p</w:t>
      </w:r>
      <w:r w:rsidRPr="009A3DC7">
        <w:rPr>
          <w:rFonts w:ascii="Times New Roman" w:hAnsi="Times New Roman" w:cs="Times New Roman"/>
          <w:b/>
          <w:i/>
          <w:sz w:val="28"/>
          <w:szCs w:val="20"/>
        </w:rPr>
        <w:t>roof</w:t>
      </w:r>
    </w:p>
    <w:p w:rsidR="009A3DC7" w:rsidRPr="00DC5B52" w:rsidRDefault="009A3DC7" w:rsidP="009A3DC7">
      <w:pPr>
        <w:spacing w:after="12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According to fig. 3, suppose </w:t>
      </w:r>
      <w:r w:rsidRPr="00DC5B52">
        <w:rPr>
          <w:rFonts w:ascii="Times New Roman" w:hAnsi="Times New Roman" w:cs="Times New Roman"/>
          <w:sz w:val="20"/>
          <w:szCs w:val="20"/>
        </w:rPr>
        <w:t>that logic ‘0’ is provided</w:t>
      </w:r>
      <w:r>
        <w:rPr>
          <w:rFonts w:ascii="Times New Roman" w:hAnsi="Times New Roman" w:cs="Times New Roman"/>
          <w:sz w:val="20"/>
          <w:szCs w:val="20"/>
        </w:rPr>
        <w:t xml:space="preserve"> at the input side to cell-1, therefore</w:t>
      </w:r>
      <w:r>
        <w:rPr>
          <w:rFonts w:ascii="Times New Roman" w:hAnsi="Times New Roman" w:cs="Times New Roman"/>
          <w:sz w:val="20"/>
          <w:szCs w:val="20"/>
        </w:rPr>
        <w:t xml:space="preserve">, cell-2 should </w:t>
      </w:r>
      <w:r w:rsidRPr="00DC5B52">
        <w:rPr>
          <w:rFonts w:ascii="Times New Roman" w:hAnsi="Times New Roman" w:cs="Times New Roman"/>
          <w:sz w:val="20"/>
          <w:szCs w:val="20"/>
        </w:rPr>
        <w:t>follow the same logic as input cell because it is connected in s</w:t>
      </w:r>
      <w:r>
        <w:rPr>
          <w:rFonts w:ascii="Times New Roman" w:hAnsi="Times New Roman" w:cs="Times New Roman"/>
          <w:sz w:val="20"/>
          <w:szCs w:val="20"/>
        </w:rPr>
        <w:t>eries with cell-1. This judgment requires some kind of a physical proof.</w:t>
      </w:r>
    </w:p>
    <w:p w:rsidR="009A3DC7" w:rsidRPr="00DC5B52" w:rsidRDefault="009A3DC7" w:rsidP="009A3DC7">
      <w:pPr>
        <w:spacing w:after="12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 physical proof</w:t>
      </w:r>
      <w:r w:rsidRPr="00DC5B52">
        <w:rPr>
          <w:rFonts w:ascii="Times New Roman" w:hAnsi="Times New Roman" w:cs="Times New Roman"/>
          <w:sz w:val="20"/>
          <w:szCs w:val="20"/>
        </w:rPr>
        <w:t xml:space="preserve">, assume that all the cells are similar and length of each one is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DC5B52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’</w:t>
      </w:r>
      <w:r w:rsidRPr="00DC5B52">
        <w:rPr>
          <w:rFonts w:ascii="Times New Roman" w:hAnsi="Times New Roman" w:cs="Times New Roman"/>
          <w:sz w:val="20"/>
          <w:szCs w:val="20"/>
        </w:rPr>
        <w:t xml:space="preserve"> (a = 18nm) and there is a space of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DC5B52">
        <w:rPr>
          <w:rFonts w:ascii="Times New Roman" w:hAnsi="Times New Roman" w:cs="Times New Roman"/>
          <w:sz w:val="20"/>
          <w:szCs w:val="20"/>
        </w:rPr>
        <w:t>x</w:t>
      </w:r>
      <w:r>
        <w:rPr>
          <w:rFonts w:ascii="Times New Roman" w:hAnsi="Times New Roman" w:cs="Times New Roman"/>
          <w:sz w:val="20"/>
          <w:szCs w:val="20"/>
        </w:rPr>
        <w:t>’</w:t>
      </w:r>
      <w:r w:rsidRPr="00DC5B52">
        <w:rPr>
          <w:rFonts w:ascii="Times New Roman" w:hAnsi="Times New Roman" w:cs="Times New Roman"/>
          <w:sz w:val="20"/>
          <w:szCs w:val="20"/>
        </w:rPr>
        <w:t xml:space="preserve"> (x = 2nm) bet</w:t>
      </w:r>
      <w:r>
        <w:rPr>
          <w:rFonts w:ascii="Times New Roman" w:hAnsi="Times New Roman" w:cs="Times New Roman"/>
          <w:sz w:val="20"/>
          <w:szCs w:val="20"/>
        </w:rPr>
        <w:t>ween each two neighbor cells [5]</w:t>
      </w:r>
      <w:r w:rsidRPr="00DC5B52">
        <w:rPr>
          <w:rFonts w:ascii="Times New Roman" w:hAnsi="Times New Roman" w:cs="Times New Roman"/>
          <w:sz w:val="20"/>
          <w:szCs w:val="20"/>
        </w:rPr>
        <w:t>. In all the figures, rectangles show the QCA cell and the circles inside</w:t>
      </w:r>
      <w:r>
        <w:rPr>
          <w:rFonts w:ascii="Times New Roman" w:hAnsi="Times New Roman" w:cs="Times New Roman"/>
          <w:sz w:val="20"/>
          <w:szCs w:val="20"/>
        </w:rPr>
        <w:t xml:space="preserve"> it</w:t>
      </w:r>
      <w:r w:rsidRPr="00DC5B52">
        <w:rPr>
          <w:rFonts w:ascii="Times New Roman" w:hAnsi="Times New Roman" w:cs="Times New Roman"/>
          <w:sz w:val="20"/>
          <w:szCs w:val="20"/>
        </w:rPr>
        <w:t xml:space="preserve"> show the position of electrons inside that particular cell. In order to achieve more stability, electrons of QCA cell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DC5B52">
        <w:rPr>
          <w:rFonts w:ascii="Times New Roman" w:hAnsi="Times New Roman" w:cs="Times New Roman"/>
          <w:sz w:val="20"/>
          <w:szCs w:val="20"/>
        </w:rPr>
        <w:t xml:space="preserve"> are arranged in such a manner that their potential energy should be at minimum level.</w:t>
      </w:r>
    </w:p>
    <w:p w:rsidR="009A3DC7" w:rsidRPr="00DC5B52" w:rsidRDefault="009A3DC7" w:rsidP="009A3DC7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DC5B52">
        <w:rPr>
          <w:rFonts w:ascii="Times New Roman" w:hAnsi="Times New Roman" w:cs="Times New Roman"/>
          <w:sz w:val="20"/>
          <w:szCs w:val="20"/>
        </w:rPr>
        <w:t>The potential energy between two electron charges is calculated using relation (1a). In this equation, U is the potential energy, k is fixed colon, q1 and q2 are electric charges and r is the distance between two electric charges. By putting the val</w:t>
      </w:r>
      <w:r>
        <w:rPr>
          <w:rFonts w:ascii="Times New Roman" w:hAnsi="Times New Roman" w:cs="Times New Roman"/>
          <w:sz w:val="20"/>
          <w:szCs w:val="20"/>
        </w:rPr>
        <w:t xml:space="preserve">ues of k and q, </w:t>
      </w:r>
      <w:r w:rsidRPr="00DC5B52">
        <w:rPr>
          <w:rFonts w:ascii="Times New Roman" w:hAnsi="Times New Roman" w:cs="Times New Roman"/>
          <w:sz w:val="20"/>
          <w:szCs w:val="20"/>
        </w:rPr>
        <w:t>Eq. (1b)</w:t>
      </w:r>
      <w:r>
        <w:rPr>
          <w:rFonts w:ascii="Times New Roman" w:hAnsi="Times New Roman" w:cs="Times New Roman"/>
          <w:sz w:val="20"/>
          <w:szCs w:val="20"/>
        </w:rPr>
        <w:t xml:space="preserve"> can be obtained</w:t>
      </w:r>
      <w:r w:rsidRPr="00DC5B52">
        <w:rPr>
          <w:rFonts w:ascii="Times New Roman" w:hAnsi="Times New Roman" w:cs="Times New Roman"/>
          <w:sz w:val="20"/>
          <w:szCs w:val="20"/>
        </w:rPr>
        <w:t>. U</w:t>
      </w:r>
      <w:r w:rsidRPr="00DC5B52">
        <w:rPr>
          <w:rFonts w:ascii="Times New Roman" w:hAnsi="Times New Roman" w:cs="Times New Roman"/>
          <w:sz w:val="20"/>
          <w:szCs w:val="20"/>
          <w:vertAlign w:val="subscript"/>
        </w:rPr>
        <w:t>T</w:t>
      </w:r>
      <w:r w:rsidRPr="00DC5B52">
        <w:rPr>
          <w:rFonts w:ascii="Times New Roman" w:hAnsi="Times New Roman" w:cs="Times New Roman"/>
          <w:sz w:val="20"/>
          <w:szCs w:val="20"/>
        </w:rPr>
        <w:t xml:space="preserve"> is the summation of potential energies that is calculated from Eq. (2).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5B52">
        <w:rPr>
          <w:rFonts w:ascii="Times New Roman" w:hAnsi="Times New Roman" w:cs="Times New Roman"/>
          <w:sz w:val="20"/>
          <w:szCs w:val="20"/>
        </w:rPr>
        <w:t>Physica</w:t>
      </w:r>
      <w:bookmarkStart w:id="0" w:name="_GoBack"/>
      <w:bookmarkEnd w:id="0"/>
      <w:r w:rsidRPr="00DC5B52">
        <w:rPr>
          <w:rFonts w:ascii="Times New Roman" w:hAnsi="Times New Roman" w:cs="Times New Roman"/>
          <w:sz w:val="20"/>
          <w:szCs w:val="20"/>
        </w:rPr>
        <w:t>l proof has</w:t>
      </w:r>
      <w:r>
        <w:rPr>
          <w:rFonts w:ascii="Times New Roman" w:hAnsi="Times New Roman" w:cs="Times New Roman"/>
          <w:sz w:val="20"/>
          <w:szCs w:val="20"/>
        </w:rPr>
        <w:t xml:space="preserve"> been provided as below</w:t>
      </w:r>
      <w:r w:rsidRPr="00DC5B52">
        <w:rPr>
          <w:rFonts w:ascii="Times New Roman" w:hAnsi="Times New Roman" w:cs="Times New Roman"/>
          <w:sz w:val="20"/>
          <w:szCs w:val="20"/>
        </w:rPr>
        <w:t>:</w:t>
      </w:r>
    </w:p>
    <w:p w:rsidR="009A3DC7" w:rsidRPr="00DC5B52" w:rsidRDefault="009477D5" w:rsidP="009A3DC7">
      <w:pPr>
        <w:spacing w:after="12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74.8pt;margin-top:6.25pt;width:174.35pt;height:76.9pt;z-index:-251650048;mso-position-horizontal-relative:text;mso-position-vertical-relative:text">
            <v:imagedata r:id="rId6" o:title=""/>
          </v:shape>
          <o:OLEObject Type="Embed" ProgID="Visio.Drawing.11" ShapeID="_x0000_s1030" DrawAspect="Content" ObjectID="_1659517188" r:id="rId7"/>
        </w:pict>
      </w:r>
      <w:r>
        <w:rPr>
          <w:noProof/>
        </w:rPr>
        <w:pict>
          <v:shape id="_x0000_s1029" type="#_x0000_t75" style="position:absolute;margin-left:339.9pt;margin-top:6.25pt;width:174.6pt;height:77pt;z-index:-251652096;mso-position-horizontal-relative:text;mso-position-vertical-relative:text">
            <v:imagedata r:id="rId8" o:title=""/>
          </v:shape>
          <o:OLEObject Type="Embed" ProgID="Visio.Drawing.11" ShapeID="_x0000_s1029" DrawAspect="Content" ObjectID="_1659517189" r:id="rId9"/>
        </w:pict>
      </w:r>
      <m:oMath>
        <m:r>
          <w:rPr>
            <w:rFonts w:ascii="Cambria Math" w:hAnsi="Cambria Math" w:cs="Times New Roman"/>
            <w:sz w:val="20"/>
            <w:szCs w:val="20"/>
          </w:rPr>
          <m:t xml:space="preserve">U= 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r</m:t>
            </m:r>
          </m:den>
        </m:f>
      </m:oMath>
      <w:r w:rsidR="009A3DC7" w:rsidRPr="00DC5B52">
        <w:rPr>
          <w:rFonts w:ascii="Times New Roman" w:eastAsiaTheme="minorEastAsia" w:hAnsi="Times New Roman" w:cs="Times New Roman"/>
          <w:sz w:val="20"/>
          <w:szCs w:val="20"/>
        </w:rPr>
        <w:tab/>
      </w:r>
      <w:r w:rsidR="009A3DC7" w:rsidRPr="00DC5B52">
        <w:rPr>
          <w:rFonts w:ascii="Times New Roman" w:eastAsiaTheme="minorEastAsia" w:hAnsi="Times New Roman" w:cs="Times New Roman"/>
          <w:sz w:val="20"/>
          <w:szCs w:val="20"/>
        </w:rPr>
        <w:tab/>
      </w:r>
      <w:r w:rsidR="009A3DC7">
        <w:rPr>
          <w:rFonts w:ascii="Times New Roman" w:eastAsiaTheme="minorEastAsia" w:hAnsi="Times New Roman" w:cs="Times New Roman"/>
          <w:sz w:val="20"/>
          <w:szCs w:val="20"/>
        </w:rPr>
        <w:tab/>
      </w:r>
      <w:r w:rsidR="009A3DC7" w:rsidRPr="00AE150E">
        <w:rPr>
          <w:rFonts w:ascii="Times New Roman" w:eastAsiaTheme="minorEastAsia" w:hAnsi="Times New Roman" w:cs="Times New Roman"/>
          <w:b/>
          <w:sz w:val="20"/>
          <w:szCs w:val="20"/>
        </w:rPr>
        <w:t>(1a)</w:t>
      </w:r>
    </w:p>
    <w:p w:rsidR="009A3DC7" w:rsidRPr="002C1B70" w:rsidRDefault="009A3DC7" w:rsidP="009A3DC7">
      <w:pPr>
        <w:spacing w:after="120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k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=9× </m:t>
          </m:r>
          <m:sSup>
            <m:sSup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0"/>
                  <w:szCs w:val="20"/>
                </w:rPr>
                <m:t>9</m:t>
              </m:r>
            </m:sup>
          </m:sSup>
          <m:r>
            <w:rPr>
              <w:rFonts w:ascii="Cambria Math" w:hAnsi="Cambria Math" w:cs="Times New Roman"/>
              <w:sz w:val="20"/>
              <w:szCs w:val="20"/>
            </w:rPr>
            <m:t xml:space="preserve"> ×</m:t>
          </m:r>
          <m:sSup>
            <m:sSup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1.6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sz w:val="20"/>
              <w:szCs w:val="20"/>
            </w:rPr>
            <m:t xml:space="preserve"> × </m:t>
          </m:r>
          <m:sSup>
            <m:sSup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0"/>
                  <w:szCs w:val="20"/>
                </w:rPr>
                <m:t>-38</m:t>
              </m:r>
            </m:sup>
          </m:sSup>
        </m:oMath>
      </m:oMathPara>
    </w:p>
    <w:p w:rsidR="009A3DC7" w:rsidRPr="00DC5B52" w:rsidRDefault="009A3DC7" w:rsidP="009A3DC7">
      <w:pPr>
        <w:spacing w:after="120"/>
        <w:rPr>
          <w:rFonts w:ascii="Times New Roman" w:eastAsiaTheme="minorEastAsia" w:hAnsi="Times New Roman" w:cs="Times New Roman"/>
          <w:sz w:val="20"/>
          <w:szCs w:val="20"/>
        </w:rPr>
      </w:pP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hAnsi="Cambria Math" w:cs="Times New Roman"/>
            <w:sz w:val="20"/>
            <w:szCs w:val="20"/>
          </w:rPr>
          <m:t xml:space="preserve"> =23.04 × 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-29</m:t>
            </m:r>
          </m:sup>
        </m:sSup>
        <m:r>
          <w:rPr>
            <w:rFonts w:ascii="Cambria Math" w:hAnsi="Cambria Math" w:cs="Times New Roman"/>
            <w:sz w:val="20"/>
            <w:szCs w:val="20"/>
          </w:rPr>
          <m:t>=A=cte</m:t>
        </m:r>
      </m:oMath>
      <w:r w:rsidRPr="00DC5B52">
        <w:rPr>
          <w:rFonts w:ascii="Times New Roman" w:eastAsiaTheme="minorEastAsia" w:hAnsi="Times New Roman" w:cs="Times New Roman"/>
          <w:sz w:val="20"/>
          <w:szCs w:val="20"/>
        </w:rPr>
        <w:tab/>
      </w:r>
      <w:r w:rsidRPr="00AE150E">
        <w:rPr>
          <w:rFonts w:ascii="Times New Roman" w:eastAsiaTheme="minorEastAsia" w:hAnsi="Times New Roman" w:cs="Times New Roman"/>
          <w:b/>
          <w:sz w:val="20"/>
          <w:szCs w:val="20"/>
        </w:rPr>
        <w:t>(1b)</w:t>
      </w:r>
    </w:p>
    <w:p w:rsidR="009A3DC7" w:rsidRPr="00DC5B52" w:rsidRDefault="009A3DC7" w:rsidP="009A3DC7">
      <w:pPr>
        <w:spacing w:after="120"/>
        <w:rPr>
          <w:rFonts w:ascii="Times New Roman" w:eastAsiaTheme="minorEastAsia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T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i</m:t>
                </m:r>
              </m:sub>
            </m:sSub>
          </m:e>
        </m:nary>
      </m:oMath>
      <w:r w:rsidRPr="00DC5B52">
        <w:rPr>
          <w:rFonts w:ascii="Times New Roman" w:eastAsiaTheme="minorEastAsia" w:hAnsi="Times New Roman" w:cs="Times New Roman"/>
          <w:sz w:val="20"/>
          <w:szCs w:val="20"/>
        </w:rPr>
        <w:tab/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ab/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r w:rsidRPr="00AE150E">
        <w:rPr>
          <w:rFonts w:ascii="Times New Roman" w:eastAsiaTheme="minorEastAsia" w:hAnsi="Times New Roman" w:cs="Times New Roman"/>
          <w:b/>
          <w:sz w:val="20"/>
          <w:szCs w:val="20"/>
        </w:rPr>
        <w:t>(2)</w:t>
      </w:r>
    </w:p>
    <w:p w:rsidR="009A3DC7" w:rsidRPr="00DC5B52" w:rsidRDefault="009A3DC7" w:rsidP="009A3DC7">
      <w:pPr>
        <w:tabs>
          <w:tab w:val="left" w:pos="540"/>
        </w:tabs>
        <w:spacing w:after="12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A3DC7" w:rsidRPr="00DC5B52" w:rsidRDefault="009A3DC7" w:rsidP="009A3DC7">
      <w:pPr>
        <w:spacing w:after="120"/>
        <w:ind w:left="2880"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DC5B52">
        <w:rPr>
          <w:rFonts w:ascii="Times New Roman" w:hAnsi="Times New Roman" w:cs="Times New Roman"/>
          <w:sz w:val="20"/>
          <w:szCs w:val="20"/>
        </w:rPr>
        <w:t xml:space="preserve">(a) </w:t>
      </w:r>
      <w:r w:rsidRPr="00DC5B52">
        <w:rPr>
          <w:rFonts w:ascii="Times New Roman" w:hAnsi="Times New Roman" w:cs="Times New Roman"/>
          <w:sz w:val="20"/>
          <w:szCs w:val="20"/>
        </w:rPr>
        <w:tab/>
      </w:r>
      <w:r w:rsidRPr="00DC5B52">
        <w:rPr>
          <w:rFonts w:ascii="Times New Roman" w:hAnsi="Times New Roman" w:cs="Times New Roman"/>
          <w:sz w:val="20"/>
          <w:szCs w:val="20"/>
        </w:rPr>
        <w:tab/>
      </w:r>
      <w:r w:rsidRPr="00DC5B52">
        <w:rPr>
          <w:rFonts w:ascii="Times New Roman" w:hAnsi="Times New Roman" w:cs="Times New Roman"/>
          <w:sz w:val="20"/>
          <w:szCs w:val="20"/>
        </w:rPr>
        <w:tab/>
      </w:r>
      <w:r w:rsidR="009477D5">
        <w:rPr>
          <w:rFonts w:ascii="Times New Roman" w:hAnsi="Times New Roman" w:cs="Times New Roman"/>
          <w:sz w:val="20"/>
          <w:szCs w:val="20"/>
        </w:rPr>
        <w:t xml:space="preserve"> </w:t>
      </w:r>
      <w:r w:rsidRPr="00DC5B52">
        <w:rPr>
          <w:rFonts w:ascii="Times New Roman" w:hAnsi="Times New Roman" w:cs="Times New Roman"/>
          <w:sz w:val="20"/>
          <w:szCs w:val="20"/>
        </w:rPr>
        <w:tab/>
      </w:r>
      <w:r w:rsidR="009477D5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C5B52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DC5B52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C5B52">
        <w:rPr>
          <w:rFonts w:ascii="Times New Roman" w:hAnsi="Times New Roman" w:cs="Times New Roman"/>
          <w:sz w:val="20"/>
          <w:szCs w:val="20"/>
        </w:rPr>
        <w:t>)</w:t>
      </w:r>
    </w:p>
    <w:p w:rsidR="009A3DC7" w:rsidRDefault="009A3DC7" w:rsidP="009A3DC7">
      <w:pPr>
        <w:spacing w:after="120"/>
        <w:ind w:left="3600"/>
        <w:jc w:val="center"/>
        <w:rPr>
          <w:rFonts w:ascii="Times New Roman" w:hAnsi="Times New Roman" w:cs="Times New Roman"/>
          <w:sz w:val="20"/>
          <w:szCs w:val="20"/>
        </w:rPr>
      </w:pPr>
      <w:r w:rsidRPr="00924CD1">
        <w:rPr>
          <w:rFonts w:ascii="Times New Roman" w:hAnsi="Times New Roman" w:cs="Times New Roman"/>
          <w:b/>
          <w:sz w:val="20"/>
          <w:szCs w:val="20"/>
        </w:rPr>
        <w:t>Fig. 3</w:t>
      </w:r>
      <w:r w:rsidRPr="00DC5B52">
        <w:rPr>
          <w:rFonts w:ascii="Times New Roman" w:hAnsi="Times New Roman" w:cs="Times New Roman"/>
          <w:sz w:val="20"/>
          <w:szCs w:val="20"/>
        </w:rPr>
        <w:tab/>
        <w:t>QCA cells connected in series as a Binary wire for (a) logic ‘0’ value in cell-2 and (b) logic ‘1’ value in cell-2</w:t>
      </w:r>
    </w:p>
    <w:p w:rsidR="009A3DC7" w:rsidRPr="00DC5B52" w:rsidRDefault="009A3DC7" w:rsidP="009A3DC7">
      <w:pPr>
        <w:spacing w:after="120"/>
        <w:ind w:left="1440" w:firstLine="2160"/>
        <w:jc w:val="center"/>
        <w:rPr>
          <w:rFonts w:ascii="Times New Roman" w:hAnsi="Times New Roman" w:cs="Times New Roman"/>
          <w:sz w:val="20"/>
          <w:szCs w:val="20"/>
        </w:rPr>
      </w:pP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0"/>
          <w:szCs w:val="20"/>
        </w:rPr>
        <w:sectPr w:rsidR="009A3DC7" w:rsidRPr="009A3DC7" w:rsidSect="00725216">
          <w:pgSz w:w="12240" w:h="15840"/>
          <w:pgMar w:top="810" w:right="900" w:bottom="810" w:left="1080" w:header="720" w:footer="720" w:gutter="0"/>
          <w:cols w:space="720"/>
          <w:docGrid w:linePitch="360"/>
        </w:sectPr>
      </w:pPr>
      <w:r w:rsidRPr="009A3DC7">
        <w:rPr>
          <w:rFonts w:ascii="Times New Roman" w:eastAsiaTheme="minorEastAsia" w:hAnsi="Times New Roman" w:cs="Times New Roman"/>
          <w:sz w:val="20"/>
          <w:szCs w:val="20"/>
        </w:rPr>
        <w:t>Assumption 1: If cell-2 acquires logic ‘0’ as in fig. 3 (a).</w:t>
      </w:r>
      <w:r w:rsidRPr="009A3DC7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Assumption 2: If cell-2 acquires logic ‘1’ as in fig. 3 (b).</w:t>
      </w: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9A3DC7">
        <w:rPr>
          <w:rFonts w:ascii="Times New Roman" w:eastAsiaTheme="minorEastAsia" w:hAnsi="Times New Roman" w:cs="Times New Roman"/>
          <w:sz w:val="20"/>
          <w:szCs w:val="20"/>
        </w:rPr>
        <w:lastRenderedPageBreak/>
        <w:t>Fig. 3 (a) (electron x)</w:t>
      </w: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20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=1.152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18.11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=0.60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T11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=2.422×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9A3DC7">
        <w:rPr>
          <w:rFonts w:ascii="Times New Roman" w:eastAsiaTheme="minorEastAsia" w:hAnsi="Times New Roman" w:cs="Times New Roman"/>
          <w:sz w:val="20"/>
          <w:szCs w:val="20"/>
        </w:rPr>
        <w:t>Fig. 3 (a) (electron y)</w:t>
      </w: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42.04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=0.54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20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=1.152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T12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=1.692×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b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=4.114× 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Times New Roman" w:eastAsiaTheme="minorEastAsia" w:hAnsi="Times New Roman" w:cs="Times New Roman"/>
          <w:sz w:val="20"/>
          <w:szCs w:val="20"/>
        </w:rPr>
      </w:pPr>
      <w:r w:rsidRPr="009A3DC7">
        <w:rPr>
          <w:rFonts w:ascii="Times New Roman" w:eastAsiaTheme="minorEastAsia" w:hAnsi="Times New Roman" w:cs="Times New Roman"/>
          <w:sz w:val="20"/>
          <w:szCs w:val="20"/>
        </w:rPr>
        <w:lastRenderedPageBreak/>
        <w:t>Fig. 3 (b) (electron x)</w:t>
      </w: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26.90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=0.85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=11.52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T21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=12.37×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9A3DC7">
        <w:rPr>
          <w:rFonts w:ascii="Times New Roman" w:eastAsiaTheme="minorEastAsia" w:hAnsi="Times New Roman" w:cs="Times New Roman"/>
          <w:sz w:val="20"/>
          <w:szCs w:val="20"/>
        </w:rPr>
        <w:t>Fig. 3 (b) (electron y)</w:t>
      </w: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38.05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=0.6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23.04 ×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-29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26.90 ×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=0.85 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T22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=1.45×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J</m:t>
          </m:r>
        </m:oMath>
      </m:oMathPara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9A3DC7" w:rsidRDefault="009A3DC7" w:rsidP="009A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Theme="minorEastAsia" w:hAnsi="Times New Roman" w:cs="Times New Roman"/>
          <w:b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i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=13.82× 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-20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0"/>
              <w:szCs w:val="20"/>
            </w:rPr>
            <m:t xml:space="preserve"> J </m:t>
          </m:r>
        </m:oMath>
      </m:oMathPara>
    </w:p>
    <w:p w:rsidR="009A3DC7" w:rsidRDefault="009A3DC7" w:rsidP="009A3DC7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9A3DC7" w:rsidRPr="00DC5B52" w:rsidRDefault="009A3DC7" w:rsidP="009A3DC7">
      <w:pPr>
        <w:spacing w:after="0"/>
        <w:jc w:val="both"/>
        <w:rPr>
          <w:rFonts w:ascii="Cambria Math" w:eastAsiaTheme="minorEastAsia" w:hAnsi="Cambria Math" w:cs="Times New Roman"/>
          <w:sz w:val="20"/>
          <w:szCs w:val="20"/>
          <w:oMath/>
        </w:rPr>
        <w:sectPr w:rsidR="009A3DC7" w:rsidRPr="00DC5B52" w:rsidSect="00725216">
          <w:type w:val="continuous"/>
          <w:pgSz w:w="12240" w:h="15840"/>
          <w:pgMar w:top="810" w:right="900" w:bottom="810" w:left="1080" w:header="720" w:footer="720" w:gutter="0"/>
          <w:cols w:num="2" w:space="360"/>
          <w:docGrid w:linePitch="360"/>
        </w:sectPr>
      </w:pPr>
    </w:p>
    <w:p w:rsidR="009A3DC7" w:rsidRPr="00DC5B52" w:rsidRDefault="009A3DC7" w:rsidP="009A3DC7">
      <w:pPr>
        <w:spacing w:before="240" w:after="12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DC5B52">
        <w:rPr>
          <w:rFonts w:ascii="Times New Roman" w:eastAsiaTheme="minorEastAsia" w:hAnsi="Times New Roman" w:cs="Times New Roman"/>
          <w:sz w:val="20"/>
          <w:szCs w:val="20"/>
        </w:rPr>
        <w:lastRenderedPageBreak/>
        <w:t xml:space="preserve">With 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a 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>comparis</w:t>
      </w:r>
      <w:r>
        <w:rPr>
          <w:rFonts w:ascii="Times New Roman" w:eastAsiaTheme="minorEastAsia" w:hAnsi="Times New Roman" w:cs="Times New Roman"/>
          <w:sz w:val="20"/>
          <w:szCs w:val="20"/>
        </w:rPr>
        <w:t>on to the above result, it can be observed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that the potential energy of </w:t>
      </w:r>
      <w:r>
        <w:rPr>
          <w:rFonts w:ascii="Times New Roman" w:eastAsiaTheme="minorEastAsia" w:hAnsi="Times New Roman" w:cs="Times New Roman"/>
          <w:sz w:val="20"/>
          <w:szCs w:val="20"/>
        </w:rPr>
        <w:t>cell-2 in fig.3 (a) is lower. Therefore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>, cell-2 will ac</w:t>
      </w:r>
      <w:r>
        <w:rPr>
          <w:rFonts w:ascii="Times New Roman" w:eastAsiaTheme="minorEastAsia" w:hAnsi="Times New Roman" w:cs="Times New Roman"/>
          <w:sz w:val="20"/>
          <w:szCs w:val="20"/>
        </w:rPr>
        <w:t>quire logic ‘0’. Same as,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if cell-1 is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at logic ‘1’,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one can take cell-2 as logic ‘1’ conceding that the two consecutive QCA cells are connected in series with each other. </w:t>
      </w:r>
      <w:r>
        <w:rPr>
          <w:rFonts w:ascii="Times New Roman" w:eastAsiaTheme="minorEastAsia" w:hAnsi="Times New Roman" w:cs="Times New Roman"/>
          <w:sz w:val="20"/>
          <w:szCs w:val="20"/>
        </w:rPr>
        <w:t>T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>he above mathematical analysis can be applied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exhaustively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for 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identifying 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the 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general 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>cell position</w:t>
      </w:r>
      <w:r>
        <w:rPr>
          <w:rFonts w:ascii="Times New Roman" w:eastAsiaTheme="minorEastAsia" w:hAnsi="Times New Roman" w:cs="Times New Roman"/>
          <w:sz w:val="20"/>
          <w:szCs w:val="20"/>
        </w:rPr>
        <w:t>s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</w:rPr>
        <w:t>lying at any place in the direction of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 xml:space="preserve"> each other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in QCA structure</w:t>
      </w:r>
      <w:r w:rsidRPr="00DC5B52">
        <w:rPr>
          <w:rFonts w:ascii="Times New Roman" w:eastAsiaTheme="minorEastAsia" w:hAnsi="Times New Roman" w:cs="Times New Roman"/>
          <w:sz w:val="20"/>
          <w:szCs w:val="20"/>
        </w:rPr>
        <w:t>.</w:t>
      </w:r>
    </w:p>
    <w:p w:rsidR="00C242D2" w:rsidRDefault="00C242D2"/>
    <w:p w:rsidR="009A3DC7" w:rsidRDefault="009A3DC7">
      <w:r>
        <w:t>Reference:</w:t>
      </w:r>
    </w:p>
    <w:p w:rsidR="009A3DC7" w:rsidRPr="00DC5B52" w:rsidRDefault="009A3DC7" w:rsidP="009A3DC7">
      <w:pPr>
        <w:spacing w:after="120"/>
        <w:ind w:left="720" w:hanging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[5</w:t>
      </w:r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>]</w:t>
      </w:r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Zhang R, </w:t>
      </w:r>
      <w:proofErr w:type="spellStart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>Walus</w:t>
      </w:r>
      <w:proofErr w:type="spellEnd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K, Wang W, </w:t>
      </w:r>
      <w:proofErr w:type="spellStart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>Jullien</w:t>
      </w:r>
      <w:proofErr w:type="spellEnd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G (2005) Performance comparison of quantum-dot cellular automata adders Circuits and Systems, IEEE Int. </w:t>
      </w:r>
      <w:proofErr w:type="spellStart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>Symp</w:t>
      </w:r>
      <w:proofErr w:type="spellEnd"/>
      <w:r w:rsidRPr="00DC5B52">
        <w:rPr>
          <w:rFonts w:ascii="Times New Roman" w:hAnsi="Times New Roman" w:cs="Times New Roman"/>
          <w:color w:val="000000" w:themeColor="text1"/>
          <w:sz w:val="20"/>
          <w:szCs w:val="20"/>
        </w:rPr>
        <w:t>. Circuits Syst. 3: 2522-2526</w:t>
      </w:r>
    </w:p>
    <w:p w:rsidR="009A3DC7" w:rsidRDefault="009A3DC7"/>
    <w:sectPr w:rsidR="009A3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xMzE1NjUzMjMyNTBU0lEKTi0uzszPAykwrAUA26iM7SwAAAA="/>
  </w:docVars>
  <w:rsids>
    <w:rsidRoot w:val="009A3DC7"/>
    <w:rsid w:val="009477D5"/>
    <w:rsid w:val="009A3DC7"/>
    <w:rsid w:val="00C2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ACEA-16B4-428B-BE2E-43B9973C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Sankit Kassa</dc:creator>
  <cp:lastModifiedBy>Dr. Sankit Kassa</cp:lastModifiedBy>
  <cp:revision>2</cp:revision>
  <dcterms:created xsi:type="dcterms:W3CDTF">2020-08-21T06:22:00Z</dcterms:created>
  <dcterms:modified xsi:type="dcterms:W3CDTF">2020-08-21T06:43:00Z</dcterms:modified>
</cp:coreProperties>
</file>